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9E" w:rsidRDefault="001A3D9E" w:rsidP="001A3D9E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PROJEKT</w:t>
      </w: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Uchwała Nr ………</w:t>
      </w: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Rady Gminy Manowo</w:t>
      </w: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 xml:space="preserve">z dnia </w:t>
      </w:r>
      <w:r>
        <w:rPr>
          <w:rFonts w:ascii="Calibri" w:hAnsi="Calibri" w:cs="Calibri"/>
          <w:b/>
          <w:sz w:val="22"/>
          <w:szCs w:val="22"/>
        </w:rPr>
        <w:t>……… 201</w:t>
      </w:r>
      <w:r w:rsidR="00E97AA3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r.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w sprawie przyjęcia „Programu i</w:t>
      </w:r>
      <w:r>
        <w:rPr>
          <w:rFonts w:ascii="Calibri" w:hAnsi="Calibri" w:cs="Calibri"/>
          <w:b/>
          <w:sz w:val="22"/>
          <w:szCs w:val="22"/>
        </w:rPr>
        <w:t xml:space="preserve"> zasad współpracy Gminy Manowo</w:t>
      </w:r>
      <w:r w:rsidRPr="00241122">
        <w:rPr>
          <w:rFonts w:ascii="Calibri" w:hAnsi="Calibri" w:cs="Calibri"/>
          <w:b/>
          <w:sz w:val="22"/>
          <w:szCs w:val="22"/>
        </w:rPr>
        <w:t xml:space="preserve"> z organizacjami pozarządowymi oraz innymi podmiotami prowadzącymi działalność pożytku publicznego </w:t>
      </w: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na rok 201</w:t>
      </w:r>
      <w:r w:rsidR="00E97AA3">
        <w:rPr>
          <w:rFonts w:ascii="Calibri" w:hAnsi="Calibri" w:cs="Calibri"/>
          <w:b/>
          <w:sz w:val="22"/>
          <w:szCs w:val="22"/>
        </w:rPr>
        <w:t>5</w:t>
      </w:r>
      <w:r w:rsidRPr="00241122">
        <w:rPr>
          <w:rFonts w:ascii="Calibri" w:hAnsi="Calibri" w:cs="Calibri"/>
          <w:b/>
          <w:sz w:val="22"/>
          <w:szCs w:val="22"/>
        </w:rPr>
        <w:t>”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41122">
        <w:rPr>
          <w:rFonts w:ascii="Calibri" w:hAnsi="Calibri" w:cs="Calibri"/>
          <w:sz w:val="22"/>
          <w:szCs w:val="22"/>
        </w:rPr>
        <w:t xml:space="preserve">Na podstawie art. 18 ust. 2 pkt. 15 ustawy z dnia 8 marca 1990r. o samorządzie gminnym (Dz. U. </w:t>
      </w:r>
      <w:proofErr w:type="spellStart"/>
      <w:r w:rsidR="00232686">
        <w:rPr>
          <w:rFonts w:ascii="Calibri" w:hAnsi="Calibri" w:cs="Calibri"/>
          <w:sz w:val="22"/>
          <w:szCs w:val="22"/>
        </w:rPr>
        <w:t>t.j</w:t>
      </w:r>
      <w:proofErr w:type="spellEnd"/>
      <w:r w:rsidR="00232686">
        <w:rPr>
          <w:rFonts w:ascii="Calibri" w:hAnsi="Calibri" w:cs="Calibri"/>
          <w:sz w:val="22"/>
          <w:szCs w:val="22"/>
        </w:rPr>
        <w:t xml:space="preserve">. z 2013r. poz. 594, zmiana z 2014r. </w:t>
      </w:r>
      <w:r w:rsidR="009F42B8">
        <w:rPr>
          <w:rFonts w:ascii="Calibri" w:hAnsi="Calibri" w:cs="Calibri"/>
          <w:sz w:val="22"/>
          <w:szCs w:val="22"/>
        </w:rPr>
        <w:t xml:space="preserve">poz. 379, </w:t>
      </w:r>
      <w:r w:rsidR="00232686">
        <w:rPr>
          <w:rFonts w:ascii="Calibri" w:hAnsi="Calibri" w:cs="Calibri"/>
          <w:sz w:val="22"/>
          <w:szCs w:val="22"/>
        </w:rPr>
        <w:t>poz. 1072)</w:t>
      </w:r>
      <w:r w:rsidRPr="00241122">
        <w:rPr>
          <w:rFonts w:ascii="Calibri" w:hAnsi="Calibri" w:cs="Calibri"/>
          <w:sz w:val="22"/>
          <w:szCs w:val="22"/>
        </w:rPr>
        <w:t xml:space="preserve"> oraz art. 5</w:t>
      </w:r>
      <w:r>
        <w:rPr>
          <w:rFonts w:ascii="Calibri" w:hAnsi="Calibri" w:cs="Calibri"/>
          <w:sz w:val="22"/>
          <w:szCs w:val="22"/>
        </w:rPr>
        <w:t>a</w:t>
      </w:r>
      <w:r w:rsidRPr="00241122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1</w:t>
      </w:r>
      <w:r w:rsidRPr="00241122">
        <w:rPr>
          <w:rFonts w:ascii="Calibri" w:hAnsi="Calibri" w:cs="Calibri"/>
          <w:sz w:val="22"/>
          <w:szCs w:val="22"/>
        </w:rPr>
        <w:t xml:space="preserve"> ustawy z dnia 24 kwietnia 2003r. o działalności pożytku publicznego i o wolontariacie (Dz. U.</w:t>
      </w:r>
      <w:r>
        <w:rPr>
          <w:rFonts w:ascii="Calibri" w:hAnsi="Calibri" w:cs="Calibri"/>
          <w:sz w:val="22"/>
          <w:szCs w:val="22"/>
        </w:rPr>
        <w:t xml:space="preserve"> </w:t>
      </w:r>
      <w:r w:rsidR="00232686">
        <w:rPr>
          <w:rFonts w:ascii="Calibri" w:hAnsi="Calibri" w:cs="Calibri"/>
          <w:sz w:val="22"/>
          <w:szCs w:val="22"/>
        </w:rPr>
        <w:t xml:space="preserve">tj. z 2014r. poz. 1118) </w:t>
      </w:r>
      <w:r w:rsidRPr="00241122">
        <w:rPr>
          <w:rFonts w:ascii="Calibri" w:hAnsi="Calibri" w:cs="Calibri"/>
          <w:sz w:val="22"/>
          <w:szCs w:val="22"/>
        </w:rPr>
        <w:t>Rada Gminy Manowo uchwala „Program i zasady współpracy Gminy Manowo z organizacjami pozarządowymi oraz innymi podmiotami prowadzącymi działalność pożytku publicznego na rok 201</w:t>
      </w:r>
      <w:r w:rsidR="00A97B4A">
        <w:rPr>
          <w:rFonts w:ascii="Calibri" w:hAnsi="Calibri" w:cs="Calibri"/>
          <w:sz w:val="22"/>
          <w:szCs w:val="22"/>
        </w:rPr>
        <w:t>5</w:t>
      </w:r>
      <w:r w:rsidRPr="00241122">
        <w:rPr>
          <w:rFonts w:ascii="Calibri" w:hAnsi="Calibri" w:cs="Calibri"/>
          <w:sz w:val="22"/>
          <w:szCs w:val="22"/>
        </w:rPr>
        <w:t>” następującej treści:</w:t>
      </w:r>
    </w:p>
    <w:p w:rsidR="001A3D9E" w:rsidRPr="00241122" w:rsidRDefault="001A3D9E" w:rsidP="001A3D9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32"/>
          <w:szCs w:val="32"/>
        </w:rPr>
        <w:br w:type="page"/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001E9">
        <w:rPr>
          <w:rFonts w:ascii="Calibri" w:hAnsi="Calibri" w:cs="Calibri"/>
          <w:b/>
          <w:color w:val="auto"/>
          <w:sz w:val="22"/>
          <w:szCs w:val="22"/>
        </w:rPr>
        <w:lastRenderedPageBreak/>
        <w:t>§ 1.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Organizacje pozarządowe działające na rzecz gminnej społeczności wspierają samorząd 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 w:rsidRPr="00241122">
        <w:rPr>
          <w:rFonts w:ascii="Calibri" w:hAnsi="Calibri" w:cs="Calibri"/>
          <w:color w:val="auto"/>
          <w:sz w:val="22"/>
          <w:szCs w:val="22"/>
        </w:rPr>
        <w:t>w rozwiązywaniu problemów okr</w:t>
      </w:r>
      <w:r>
        <w:rPr>
          <w:rFonts w:ascii="Calibri" w:hAnsi="Calibri" w:cs="Calibri"/>
          <w:color w:val="auto"/>
          <w:sz w:val="22"/>
          <w:szCs w:val="22"/>
        </w:rPr>
        <w:t>eślonych grup społecznych, zaspo</w:t>
      </w:r>
      <w:r w:rsidRPr="00241122">
        <w:rPr>
          <w:rFonts w:ascii="Calibri" w:hAnsi="Calibri" w:cs="Calibri"/>
          <w:color w:val="auto"/>
          <w:sz w:val="22"/>
          <w:szCs w:val="22"/>
        </w:rPr>
        <w:t>kajając tym samym część istotnych potrzeb jego mieszkańców. Aktywna działalność organizacji pozarządowych oraz innych podmiotów prowadzących działalność pożytku publicznego jest istotną cechą społeczeństwa demokratycznego, elementem spajającym i aktywizującym społeczność lokalną. Działania tych organizacji i podmiotów stanowią istotn</w:t>
      </w:r>
      <w:r w:rsidR="00A97B4A">
        <w:rPr>
          <w:rFonts w:ascii="Calibri" w:hAnsi="Calibri" w:cs="Calibri"/>
          <w:color w:val="auto"/>
          <w:sz w:val="22"/>
          <w:szCs w:val="22"/>
        </w:rPr>
        <w:t>e uzupełnienie działań organów g</w:t>
      </w:r>
      <w:r w:rsidRPr="00241122">
        <w:rPr>
          <w:rFonts w:ascii="Calibri" w:hAnsi="Calibri" w:cs="Calibri"/>
          <w:color w:val="auto"/>
          <w:sz w:val="22"/>
          <w:szCs w:val="22"/>
        </w:rPr>
        <w:t>miny.</w:t>
      </w:r>
    </w:p>
    <w:p w:rsidR="001A3D9E" w:rsidRPr="00241122" w:rsidRDefault="001A3D9E" w:rsidP="001A3D9E">
      <w:pPr>
        <w:spacing w:line="360" w:lineRule="auto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Zgodnie z założeniami ustawy o działalności pożytku publicznego i o wolontariacie instrumentem służącym do ustalenia zasad wzajemnej współpracy jest „Program współpracy Gminy Manowo z organizacjami pozarządowymi oraz innymi podmiotami prowadzącymi działalność pożytku publicznego na rok 201</w:t>
      </w:r>
      <w:r w:rsidR="00496F1D">
        <w:rPr>
          <w:rFonts w:ascii="Calibri" w:hAnsi="Calibri" w:cs="Calibri"/>
          <w:color w:val="auto"/>
          <w:sz w:val="22"/>
          <w:szCs w:val="22"/>
        </w:rPr>
        <w:t>5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” opracowany na podstawie ustawy z dnia 24 kwietnia 2003 roku o działalności pożytku publicznego i o wolontariacie (Dz. U. z </w:t>
      </w:r>
      <w:r w:rsidR="00496F1D">
        <w:rPr>
          <w:rFonts w:ascii="Calibri" w:hAnsi="Calibri" w:cs="Calibri"/>
          <w:sz w:val="22"/>
          <w:szCs w:val="22"/>
        </w:rPr>
        <w:t>2014r. poz. 1118</w:t>
      </w:r>
      <w:r w:rsidRPr="00241122">
        <w:rPr>
          <w:rFonts w:ascii="Calibri" w:hAnsi="Calibri" w:cs="Calibri"/>
          <w:color w:val="auto"/>
          <w:sz w:val="22"/>
          <w:szCs w:val="22"/>
        </w:rPr>
        <w:t>).</w:t>
      </w:r>
    </w:p>
    <w:p w:rsidR="001A3D9E" w:rsidRPr="00241122" w:rsidRDefault="001A3D9E" w:rsidP="001A3D9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Ilekroć w programie jest mowa o:</w:t>
      </w:r>
    </w:p>
    <w:p w:rsidR="001A3D9E" w:rsidRPr="00241122" w:rsidRDefault="001A3D9E" w:rsidP="001A3D9E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ustawie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ustawę z dnia 24 kwietnia 2003 roku o działalności pożytku publicznego i o wolontariacie (Dz. U. z </w:t>
      </w:r>
      <w:r w:rsidR="00496F1D">
        <w:rPr>
          <w:rFonts w:ascii="Calibri" w:hAnsi="Calibri" w:cs="Calibri"/>
          <w:sz w:val="22"/>
          <w:szCs w:val="22"/>
        </w:rPr>
        <w:t>2014r. poz. 1118</w:t>
      </w:r>
      <w:r w:rsidRPr="00241122">
        <w:rPr>
          <w:rFonts w:ascii="Calibri" w:hAnsi="Calibri" w:cs="Calibri"/>
          <w:color w:val="auto"/>
          <w:sz w:val="22"/>
          <w:szCs w:val="22"/>
        </w:rPr>
        <w:t>).</w:t>
      </w:r>
    </w:p>
    <w:p w:rsidR="001A3D9E" w:rsidRPr="00241122" w:rsidRDefault="001A3D9E" w:rsidP="001A3D9E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 xml:space="preserve">programie </w:t>
      </w:r>
      <w:r w:rsidRPr="00241122">
        <w:rPr>
          <w:rFonts w:ascii="Calibri" w:hAnsi="Calibri" w:cs="Calibri"/>
          <w:color w:val="auto"/>
          <w:sz w:val="22"/>
          <w:szCs w:val="22"/>
        </w:rPr>
        <w:t>– rozumie się program współpracy Gminy Manowo z organizacjami pozarządowymi oraz innymi podmiotami prowadzącymi działalność pożytku publicznego na rok 201</w:t>
      </w:r>
      <w:r w:rsidR="00496F1D">
        <w:rPr>
          <w:rFonts w:ascii="Calibri" w:hAnsi="Calibri" w:cs="Calibri"/>
          <w:color w:val="auto"/>
          <w:sz w:val="22"/>
          <w:szCs w:val="22"/>
        </w:rPr>
        <w:t>5</w:t>
      </w:r>
      <w:r w:rsidRPr="00241122">
        <w:rPr>
          <w:rFonts w:ascii="Calibri" w:hAnsi="Calibri" w:cs="Calibri"/>
          <w:color w:val="auto"/>
          <w:sz w:val="22"/>
          <w:szCs w:val="22"/>
        </w:rPr>
        <w:t>.</w:t>
      </w:r>
    </w:p>
    <w:p w:rsidR="001A3D9E" w:rsidRPr="00241122" w:rsidRDefault="001A3D9E" w:rsidP="001A3D9E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gminie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Gminę Manowo.</w:t>
      </w:r>
    </w:p>
    <w:p w:rsidR="001A3D9E" w:rsidRPr="00241122" w:rsidRDefault="001A3D9E" w:rsidP="001A3D9E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radzie gminy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- rozumie się przez to Radę Gminę Manowo.</w:t>
      </w:r>
    </w:p>
    <w:p w:rsidR="001A3D9E" w:rsidRPr="00241122" w:rsidRDefault="001A3D9E" w:rsidP="001A3D9E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wójcie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- rozumie się przez to Wójta Gminy Manowo.</w:t>
      </w:r>
    </w:p>
    <w:p w:rsidR="001A3D9E" w:rsidRPr="00241122" w:rsidRDefault="001A3D9E" w:rsidP="001A3D9E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organizacjach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organizacje pozarządowe oraz inne podmioty działalności pożytku publicznego, o których mowa w art. 3 ust. 2 i 3 ustawy, prowadzące działalność pożytku publicznego na terenie gminy.</w:t>
      </w:r>
    </w:p>
    <w:p w:rsidR="001A3D9E" w:rsidRPr="00241122" w:rsidRDefault="001A3D9E" w:rsidP="001A3D9E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dotacji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dotację w rozumienie art. 127 ust.1 pkt 1 lit. e oraz art. 221 ustawy z dnia 27 sierpnia 2009r. o finansach publicznych (Dz.U.</w:t>
      </w:r>
      <w:r w:rsidR="00496F1D">
        <w:rPr>
          <w:rFonts w:ascii="Calibri" w:hAnsi="Calibri" w:cs="Calibri"/>
          <w:color w:val="auto"/>
          <w:sz w:val="22"/>
          <w:szCs w:val="22"/>
        </w:rPr>
        <w:t xml:space="preserve"> z 2013r. poz. 885 ze zm.</w:t>
      </w:r>
      <w:r w:rsidRPr="00241122">
        <w:rPr>
          <w:rFonts w:ascii="Calibri" w:hAnsi="Calibri" w:cs="Calibri"/>
          <w:color w:val="auto"/>
          <w:sz w:val="22"/>
          <w:szCs w:val="22"/>
        </w:rPr>
        <w:t>).</w:t>
      </w:r>
    </w:p>
    <w:p w:rsidR="001A3D9E" w:rsidRPr="00241122" w:rsidRDefault="001A3D9E" w:rsidP="001A3D9E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i/>
          <w:color w:val="auto"/>
          <w:sz w:val="22"/>
          <w:szCs w:val="22"/>
        </w:rPr>
        <w:t>konkursie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– rozumie się przez to otwarty konkurs ofert, o którym mowa w art. 11 ust. 2 i art. 13 ustawy.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I. Cele programu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 xml:space="preserve">Celem głównym Programu jest </w:t>
      </w:r>
      <w:r>
        <w:rPr>
          <w:rFonts w:ascii="Calibri" w:hAnsi="Calibri" w:cs="Calibri"/>
          <w:color w:val="auto"/>
          <w:sz w:val="22"/>
          <w:szCs w:val="22"/>
        </w:rPr>
        <w:t>określenie zasad i form współpracy Gminy Manowo z organizacjami pozarządowymi, które wzmocnią rolę organizacji w realizacji zadań publicznych, podniosą ich skuteczność i efektywność oraz jakość prowadzonych przez nie działań.</w:t>
      </w:r>
    </w:p>
    <w:p w:rsidR="001A3D9E" w:rsidRPr="00241122" w:rsidRDefault="001A3D9E" w:rsidP="001A3D9E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Celami szczegółowymi Programu są:</w:t>
      </w:r>
    </w:p>
    <w:p w:rsidR="001A3D9E" w:rsidRPr="00241122" w:rsidRDefault="001A3D9E" w:rsidP="001A3D9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podniesienie jakości życia i pełniejsze zaspokojenie potrzeb mieszkańców gminy poprzez zwiększenie aktywności organizacji,</w:t>
      </w:r>
    </w:p>
    <w:p w:rsidR="001A3D9E" w:rsidRPr="00241122" w:rsidRDefault="001A3D9E" w:rsidP="001A3D9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wzmocnienie potencjału organizacji pozarządowych,</w:t>
      </w:r>
    </w:p>
    <w:p w:rsidR="001A3D9E" w:rsidRPr="00241122" w:rsidRDefault="001A3D9E" w:rsidP="001A3D9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zapewnienie efektywnego wykonywania zadań publicznych gminy poprzez włączenie do ich realizacji organizacji pozarządowych,</w:t>
      </w:r>
    </w:p>
    <w:p w:rsidR="001A3D9E" w:rsidRPr="00241122" w:rsidRDefault="001A3D9E" w:rsidP="001A3D9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zwiększenie udziału mieszkańców w rozwiązywaniu lokalnych problemów,</w:t>
      </w:r>
    </w:p>
    <w:p w:rsidR="001A3D9E" w:rsidRDefault="001A3D9E" w:rsidP="001A3D9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otwarcie na innowacyjność i konkurencyjność w wykonywaniu zadań publicznych,</w:t>
      </w:r>
    </w:p>
    <w:p w:rsidR="001A3D9E" w:rsidRDefault="001A3D9E" w:rsidP="001A3D9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umacnianie w świadomości społecznej poczucia odpowiedzialności za siebie, swoje otoczenie, wspólnotę lokalną oraz jej tradycje,</w:t>
      </w:r>
    </w:p>
    <w:p w:rsidR="001A3D9E" w:rsidRPr="00241122" w:rsidRDefault="001A3D9E" w:rsidP="001A3D9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promocja organizacji pozarządowych działających w gminie,</w:t>
      </w:r>
    </w:p>
    <w:p w:rsidR="001A3D9E" w:rsidRPr="00241122" w:rsidRDefault="001A3D9E" w:rsidP="001A3D9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popieranie postaw pro-obywatelskich, przede wszystkim wolontariatu.</w:t>
      </w:r>
    </w:p>
    <w:p w:rsidR="001A3D9E" w:rsidRPr="00241122" w:rsidRDefault="001A3D9E" w:rsidP="001A3D9E">
      <w:pPr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II.  Zasady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Współpraca samorządu z organizacjami będzie realizowana na zasadach</w:t>
      </w:r>
      <w:r>
        <w:rPr>
          <w:rFonts w:ascii="Calibri" w:hAnsi="Calibri" w:cs="Calibri"/>
          <w:color w:val="auto"/>
          <w:sz w:val="22"/>
          <w:szCs w:val="22"/>
        </w:rPr>
        <w:t>: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pomocniczości, suwerenności stron, efektywności, uczciwej konkurencji, jawności i poszanowania interesu partnerów współpracy.</w:t>
      </w:r>
    </w:p>
    <w:p w:rsidR="001A3D9E" w:rsidRPr="00241122" w:rsidRDefault="001A3D9E" w:rsidP="001A3D9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Zasada pomocniczości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oznacza powierzenie organizacjom pozarządowym tych zadań, które mogą wykonać sprawniej, taniej niż instytucje gminy.</w:t>
      </w:r>
    </w:p>
    <w:p w:rsidR="001A3D9E" w:rsidRPr="00241122" w:rsidRDefault="001A3D9E" w:rsidP="001A3D9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Zasada suwerenności stron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polega na tym, iż strony mają prawo do niezależności i odrębności w samodzielnym definiowaniu i poszukiwaniu sposobów rozwiązywania problemów i zadań</w:t>
      </w:r>
      <w:r w:rsidRPr="00241122">
        <w:rPr>
          <w:rFonts w:ascii="Calibri" w:hAnsi="Calibri" w:cs="Calibri"/>
          <w:color w:val="auto"/>
          <w:sz w:val="22"/>
          <w:szCs w:val="22"/>
        </w:rPr>
        <w:t>.</w:t>
      </w:r>
    </w:p>
    <w:p w:rsidR="001A3D9E" w:rsidRPr="00241122" w:rsidRDefault="001A3D9E" w:rsidP="001A3D9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Zasada partnerstwa </w:t>
      </w:r>
      <w:r w:rsidRPr="00241122">
        <w:rPr>
          <w:rFonts w:ascii="Calibri" w:hAnsi="Calibri" w:cs="Calibri"/>
          <w:color w:val="auto"/>
          <w:sz w:val="22"/>
          <w:szCs w:val="22"/>
        </w:rPr>
        <w:t>oznacza współpracę „jak równy z równym” na warunkach określonych dobrowolną umową.</w:t>
      </w:r>
    </w:p>
    <w:p w:rsidR="001A3D9E" w:rsidRPr="00241122" w:rsidRDefault="001A3D9E" w:rsidP="001A3D9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Zasada efektywności </w:t>
      </w:r>
      <w:r w:rsidRPr="00241122">
        <w:rPr>
          <w:rFonts w:ascii="Calibri" w:hAnsi="Calibri" w:cs="Calibri"/>
          <w:color w:val="auto"/>
          <w:sz w:val="22"/>
          <w:szCs w:val="22"/>
        </w:rPr>
        <w:t>polega na wspólnym dążeniu do osiągnięcia możliwie najlepszych efektów w realizacji zadań publicznych.</w:t>
      </w:r>
    </w:p>
    <w:p w:rsidR="001A3D9E" w:rsidRPr="00241122" w:rsidRDefault="001A3D9E" w:rsidP="001A3D9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Zasada uczciwej konkurencji i jawności </w:t>
      </w:r>
      <w:r>
        <w:rPr>
          <w:rFonts w:ascii="Calibri" w:hAnsi="Calibri" w:cs="Calibri"/>
          <w:color w:val="auto"/>
          <w:sz w:val="22"/>
          <w:szCs w:val="22"/>
        </w:rPr>
        <w:t>polega na kształtowaniu przejrzystych zasad współpracy, opartych na równych i jawnych kryteriach wyboru realizatora zadania publicznego oraz na zapewnieniu równego dostępu do informacji.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III. Realizatorzy programu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realizacji programu uczestniczą:</w:t>
      </w:r>
    </w:p>
    <w:p w:rsidR="001A3D9E" w:rsidRPr="00241122" w:rsidRDefault="001A3D9E" w:rsidP="001A3D9E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Rada Gminy – w zakresie wytyczania polityki społecznej i finansowej.</w:t>
      </w:r>
    </w:p>
    <w:p w:rsidR="001A3D9E" w:rsidRPr="00241122" w:rsidRDefault="001A3D9E" w:rsidP="001A3D9E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Wójt Gminy – w zakresie realizacji polityki społecznej i finansowej Gminy Manowo wytyczonej przez Radę Gminy.</w:t>
      </w:r>
    </w:p>
    <w:p w:rsidR="001A3D9E" w:rsidRPr="00241122" w:rsidRDefault="001A3D9E" w:rsidP="001A3D9E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Komisja konkursowa – w zakresie przeprowadzania otwartych konkursów ofert na realizację zadań publicznych.</w:t>
      </w:r>
    </w:p>
    <w:p w:rsidR="001A3D9E" w:rsidRPr="00241122" w:rsidRDefault="001A3D9E" w:rsidP="001A3D9E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Pracownicy Urzędu Gm</w:t>
      </w:r>
      <w:r>
        <w:rPr>
          <w:rFonts w:ascii="Calibri" w:hAnsi="Calibri" w:cs="Calibri"/>
          <w:color w:val="auto"/>
          <w:sz w:val="22"/>
          <w:szCs w:val="22"/>
        </w:rPr>
        <w:t>iny w ramach swoich kompetencji.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IV. Adresaci programu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Program adresowany jest do organizacji działających na terenie Gminy Mano</w:t>
      </w:r>
      <w:r>
        <w:rPr>
          <w:rFonts w:ascii="Calibri" w:hAnsi="Calibri" w:cs="Calibri"/>
          <w:color w:val="auto"/>
          <w:sz w:val="22"/>
          <w:szCs w:val="22"/>
        </w:rPr>
        <w:t>wo lub na rzecz jej mieszkańców.  Organizacjami są:</w:t>
      </w:r>
    </w:p>
    <w:p w:rsidR="001A3D9E" w:rsidRPr="00241122" w:rsidRDefault="001A3D9E" w:rsidP="001A3D9E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organizacje pozarządowe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 rozumieniu ustawy,</w:t>
      </w:r>
    </w:p>
    <w:p w:rsidR="001A3D9E" w:rsidRPr="00241122" w:rsidRDefault="001A3D9E" w:rsidP="001A3D9E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prawne i jednostki organizacyjne działające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na podstawie przepisów o stosunku Państwa do Kościoła Katolickiego w Rzeczypospolitej, o stosunku Państwa do innych kościołów i związków wyznaniowych oraz o gwarancjach wolności sumienia i wyznania, jeżeli ich cele statutowe obejmują prowadzenie działalności pożytku publicznego,</w:t>
      </w:r>
    </w:p>
    <w:p w:rsidR="001A3D9E" w:rsidRPr="00241122" w:rsidRDefault="001A3D9E" w:rsidP="001A3D9E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stowarzyszenia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jednostek samorządu terytorialnego,</w:t>
      </w:r>
    </w:p>
    <w:p w:rsidR="001A3D9E" w:rsidRPr="00241122" w:rsidRDefault="001A3D9E" w:rsidP="001A3D9E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spółdzielni</w:t>
      </w:r>
      <w:r>
        <w:rPr>
          <w:rFonts w:ascii="Calibri" w:hAnsi="Calibri" w:cs="Calibri"/>
          <w:color w:val="auto"/>
          <w:sz w:val="22"/>
          <w:szCs w:val="22"/>
        </w:rPr>
        <w:t>e socjalne</w:t>
      </w:r>
      <w:r w:rsidRPr="00241122">
        <w:rPr>
          <w:rFonts w:ascii="Calibri" w:hAnsi="Calibri" w:cs="Calibri"/>
          <w:color w:val="auto"/>
          <w:sz w:val="22"/>
          <w:szCs w:val="22"/>
        </w:rPr>
        <w:t>,</w:t>
      </w:r>
    </w:p>
    <w:p w:rsidR="001A3D9E" w:rsidRPr="00241122" w:rsidRDefault="001A3D9E" w:rsidP="001A3D9E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spółki akcyjne i spółki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z ograniczon</w:t>
      </w:r>
      <w:r>
        <w:rPr>
          <w:rFonts w:ascii="Calibri" w:hAnsi="Calibri" w:cs="Calibri"/>
          <w:color w:val="auto"/>
          <w:sz w:val="22"/>
          <w:szCs w:val="22"/>
        </w:rPr>
        <w:t>ą odpowiedzialnością oraz kluby sportowe będące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spółkami działającymi na podstawie przepisów ustawy z dnia 25 czerwca 2010r. o sporcie (Dz.U. </w:t>
      </w:r>
      <w:r w:rsidR="00496F1D">
        <w:rPr>
          <w:rFonts w:ascii="Calibri" w:hAnsi="Calibri" w:cs="Calibri"/>
          <w:color w:val="auto"/>
          <w:sz w:val="22"/>
          <w:szCs w:val="22"/>
        </w:rPr>
        <w:t>z 2014r. poz. 715</w:t>
      </w:r>
      <w:r w:rsidRPr="00241122">
        <w:rPr>
          <w:rFonts w:ascii="Calibri" w:hAnsi="Calibri" w:cs="Calibri"/>
          <w:color w:val="auto"/>
          <w:sz w:val="22"/>
          <w:szCs w:val="22"/>
        </w:rPr>
        <w:t>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Default="001A3D9E" w:rsidP="001A3D9E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V.  Formy współpracy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1. Gmina Manowo prowadzi działalność w sferze zadań publicznych, o której mowa w art. 4 ustawy, we współpracy z organizacjami pozarządowymi prowadzącymi działalność pożytku publicznego w zakresie odpowiadającym zadaniom Gminy Manowo.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Podstawowym kryterium decydującym o współpracy z organizacjami pozarządowymi jest realizacja przez nie zadań na rzecz gminy Manowo lub jej mieszkańców.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Współpraca gminy Manowo z organizacjami pozarządowymi będzie obejmować następujące formy:</w:t>
      </w:r>
    </w:p>
    <w:p w:rsidR="001A3D9E" w:rsidRDefault="001A3D9E" w:rsidP="001A3D9E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a) współpracę finansową,</w:t>
      </w:r>
    </w:p>
    <w:p w:rsidR="001A3D9E" w:rsidRPr="00DB7B03" w:rsidRDefault="001A3D9E" w:rsidP="001A3D9E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współpracę pozafinansową.</w:t>
      </w:r>
    </w:p>
    <w:p w:rsidR="001A3D9E" w:rsidRDefault="001A3D9E" w:rsidP="001A3D9E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lastRenderedPageBreak/>
        <w:t>VI. Współpraca finansowa</w:t>
      </w:r>
    </w:p>
    <w:p w:rsidR="001A3D9E" w:rsidRDefault="001A3D9E" w:rsidP="001A3D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Współpraca finansowa odbywa się w formie zlecania organizacjom pozarządowym realizacji zadań publicznych na zasadach określonych w ustawie.</w:t>
      </w:r>
    </w:p>
    <w:p w:rsidR="001A3D9E" w:rsidRDefault="001A3D9E" w:rsidP="001A3D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Zlecanie realizacji zadań publicznych organizacjom pozarządowym odbywa się w trybie otwartego konkursu ofert, chyba że przepisy odrębne  przewidują inny  tryb zlecania.</w:t>
      </w:r>
    </w:p>
    <w:p w:rsidR="001A3D9E" w:rsidRDefault="001A3D9E" w:rsidP="001A3D9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Współpraca finansowa obejmować będzie przyznawanie środków publicznych na realizację zadań poprzez:</w:t>
      </w:r>
    </w:p>
    <w:p w:rsidR="001A3D9E" w:rsidRDefault="001A3D9E" w:rsidP="001A3D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wspieranie  zadań publicznych i udzielenie dotacji celowej dla organizacji pozarządowych na pokrycie częściowych kosztów realizacji zadania,</w:t>
      </w:r>
    </w:p>
    <w:p w:rsidR="001A3D9E" w:rsidRDefault="001A3D9E" w:rsidP="001A3D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powierzanie zadań publicznych, które może mieć formy:</w:t>
      </w:r>
    </w:p>
    <w:p w:rsidR="001A3D9E" w:rsidRDefault="001A3D9E" w:rsidP="001A3D9E">
      <w:pPr>
        <w:pStyle w:val="Akapitzlist"/>
        <w:spacing w:line="360" w:lineRule="auto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udzielenia dotacji celowej dla organizacji pozarządowej na sfinansowanie całkowitych kosztów realizacji zadania,</w:t>
      </w:r>
    </w:p>
    <w:p w:rsidR="001A3D9E" w:rsidRDefault="001A3D9E" w:rsidP="001A3D9E">
      <w:pPr>
        <w:pStyle w:val="Akapitzlist"/>
        <w:spacing w:line="360" w:lineRule="auto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zakupu usług zgodnie z trybem określonym w ustawie Prawo zamówień publicznych.</w:t>
      </w:r>
    </w:p>
    <w:p w:rsidR="001A3D9E" w:rsidRDefault="001A3D9E" w:rsidP="001A3D9E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4. Wysokość finansowania zadań powierzonych w kolejnych latach uzależniona będzie od możliwości finansowych Gminy Manowo.</w:t>
      </w:r>
    </w:p>
    <w:p w:rsidR="001A3D9E" w:rsidRDefault="001A3D9E" w:rsidP="001A3D9E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5. Realizacja zadania publicznego o charakterze lokalnym lub regionalnym może zostać zlecona organizacji pozarządowej na wniosek organizacji pozarządowej z pominięciem otwartego konkursu ofert, o ile wniosek ten spełnia łącznie następujące warunki:</w:t>
      </w:r>
    </w:p>
    <w:p w:rsidR="001A3D9E" w:rsidRDefault="001A3D9E" w:rsidP="001A3D9E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a) wysokość dofinansowania lub finansowania zadania publicznego nie przekracza kwoty              10.000 zł,</w:t>
      </w:r>
    </w:p>
    <w:p w:rsidR="001A3D9E" w:rsidRDefault="001A3D9E" w:rsidP="001A3D9E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 zadanie publiczne ma być realizowane w okresie nie dłuższym niż 90 dni,</w:t>
      </w:r>
    </w:p>
    <w:p w:rsidR="001A3D9E" w:rsidRDefault="001A3D9E" w:rsidP="001A3D9E">
      <w:pPr>
        <w:spacing w:line="360" w:lineRule="auto"/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c) łączna kwota środków finansowych przekazanych tej samej organizacji pozarządowej z pominięciem otwartego konkursu ofert, w danym roku kalendarzowym, nie może przekroczyć kwoty 20.000 zł.</w:t>
      </w:r>
    </w:p>
    <w:p w:rsidR="001A3D9E" w:rsidRDefault="001A3D9E" w:rsidP="001A3D9E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6. Wysokość środków finansowych przekazanych w ten sposób przez gminę Manowo, nie może przekroczyć 20% dotacji planowanych w roku budżetowym na realizację zadań publicznych przez organizacje pozarządowe.</w:t>
      </w:r>
    </w:p>
    <w:p w:rsidR="001A3D9E" w:rsidRPr="00EC2201" w:rsidRDefault="001A3D9E" w:rsidP="001A3D9E">
      <w:pPr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Default="001A3D9E" w:rsidP="001A3D9E">
      <w:pPr>
        <w:spacing w:line="360" w:lineRule="auto"/>
        <w:ind w:left="284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VII. Współpraca pozafinansowa</w:t>
      </w:r>
    </w:p>
    <w:p w:rsidR="001A3D9E" w:rsidRPr="00241122" w:rsidRDefault="001A3D9E" w:rsidP="001A3D9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Współpraca pozafinansowa będzie obejmowała: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udostępnianie lokalu na spotkania organizacji i spotkania otwarte,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pomoc w uzyskaniu lokalu na preferencyjnych warunkach,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organizowanie konsultacji i szkoleń, celem podniesienia sprawności funkcjonowania organizacji pozarządowych,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lastRenderedPageBreak/>
        <w:t>promocj</w:t>
      </w:r>
      <w:r>
        <w:rPr>
          <w:rFonts w:ascii="Calibri" w:hAnsi="Calibri" w:cs="Calibri"/>
          <w:color w:val="auto"/>
          <w:sz w:val="22"/>
          <w:szCs w:val="22"/>
        </w:rPr>
        <w:t>ę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działalności organizacji pozarządowych, zwłaszcza w środkach masowego przekazu,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udzielanie rekomendacji organizacjom pozarządowym i podmiotom współpracującym z gminą, które ubiegają się o dofinansowanie z innych źródeł,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wzajemne informowanie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się o planowanych kierunkach działalności i współdziałania  w celu zharmonizowania tych kierunków,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konsultowani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z organizacjami pozarządowymi  aktów normatywnych odpowiednio do zakresu ich działania,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pomoc w nawiązywaniu kontaktów i współpracy organizacji pozarządowych w skali lokalnej, ogólnopolskiej i międzynarodowej,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współprac</w:t>
      </w:r>
      <w:r>
        <w:rPr>
          <w:rFonts w:ascii="Calibri" w:hAnsi="Calibri" w:cs="Calibri"/>
          <w:color w:val="auto"/>
          <w:sz w:val="22"/>
          <w:szCs w:val="22"/>
        </w:rPr>
        <w:t>ę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 pozyskiwaniu środków finansowych z różnych źródeł,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tworzeni</w:t>
      </w:r>
      <w:r>
        <w:rPr>
          <w:rFonts w:ascii="Calibri" w:hAnsi="Calibri" w:cs="Calibri"/>
          <w:color w:val="auto"/>
          <w:sz w:val="22"/>
          <w:szCs w:val="22"/>
        </w:rPr>
        <w:t>e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wspólnych zespołów o charakterze doradczym i inicjatywnym, złożonych z przedstawicieli organizacji pozarządowych, podmiotów wymienionych w art. 3 ust. 3 </w:t>
      </w:r>
      <w:r>
        <w:rPr>
          <w:rFonts w:ascii="Calibri" w:hAnsi="Calibri" w:cs="Calibri"/>
          <w:color w:val="auto"/>
          <w:sz w:val="22"/>
          <w:szCs w:val="22"/>
        </w:rPr>
        <w:t xml:space="preserve">ustawy </w:t>
      </w:r>
      <w:r w:rsidRPr="00241122">
        <w:rPr>
          <w:rFonts w:ascii="Calibri" w:hAnsi="Calibri" w:cs="Calibri"/>
          <w:color w:val="auto"/>
          <w:sz w:val="22"/>
          <w:szCs w:val="22"/>
        </w:rPr>
        <w:t>oraz przedstawicieli właściwych organów administracji publicznej,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umowy o wykonanie inicjatywy lokalnej na zasadach określonych w ustawie,</w:t>
      </w:r>
    </w:p>
    <w:p w:rsidR="001A3D9E" w:rsidRPr="00241122" w:rsidRDefault="001A3D9E" w:rsidP="001A3D9E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 xml:space="preserve">umowy partnerstwa określone w ustawie z dnia 6 grudnia 2006r. o zasadach prowadzenia polityki rozwoju (Dz.U. z 2009r. Nr 84, poz. 712 </w:t>
      </w:r>
      <w:r w:rsidR="00E04018">
        <w:rPr>
          <w:rFonts w:ascii="Calibri" w:hAnsi="Calibri" w:cs="Calibri"/>
          <w:color w:val="auto"/>
          <w:sz w:val="22"/>
          <w:szCs w:val="22"/>
        </w:rPr>
        <w:t>ze zm.</w:t>
      </w:r>
      <w:r w:rsidRPr="00241122">
        <w:rPr>
          <w:rFonts w:ascii="Calibri" w:hAnsi="Calibri" w:cs="Calibri"/>
          <w:color w:val="auto"/>
          <w:sz w:val="22"/>
          <w:szCs w:val="22"/>
        </w:rPr>
        <w:t>)</w:t>
      </w:r>
      <w:r w:rsidR="00E04018">
        <w:rPr>
          <w:rFonts w:ascii="Calibri" w:hAnsi="Calibri" w:cs="Calibri"/>
          <w:color w:val="auto"/>
          <w:sz w:val="22"/>
          <w:szCs w:val="22"/>
        </w:rPr>
        <w:t xml:space="preserve"> oraz porozumienia albo umowy o partnerstwie określone w art. 33 ust. 1 ustawy z dnia 11 lipca 2014r. o zasadach realizacji programów w zakresie polityki spójności finansowanych w perspektywie finansowej 2014-2020 (Dz.U. poz. 1146)</w:t>
      </w:r>
      <w:r w:rsidRPr="00241122">
        <w:rPr>
          <w:rFonts w:ascii="Calibri" w:hAnsi="Calibri" w:cs="Calibri"/>
          <w:color w:val="auto"/>
          <w:sz w:val="22"/>
          <w:szCs w:val="22"/>
        </w:rPr>
        <w:t>.</w:t>
      </w:r>
    </w:p>
    <w:p w:rsidR="001A3D9E" w:rsidRPr="0057302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VIII. Zakres przedmiotowy i priorytetowe zadania publiczne w 2014 roku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1. Współpraca Gminy Manowo z organizacjami w 201</w:t>
      </w:r>
      <w:r w:rsidR="008C446B">
        <w:rPr>
          <w:rFonts w:ascii="Calibri" w:hAnsi="Calibri" w:cs="Calibri"/>
          <w:color w:val="auto"/>
          <w:sz w:val="22"/>
          <w:szCs w:val="22"/>
        </w:rPr>
        <w:t>5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roku może dotyczyć zadań publicznych, o których mowa w art. 4 ust. 1 ustawy.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 xml:space="preserve">2. Priorytetowo </w:t>
      </w:r>
      <w:r>
        <w:rPr>
          <w:rFonts w:ascii="Calibri" w:hAnsi="Calibri" w:cs="Calibri"/>
          <w:color w:val="auto"/>
          <w:sz w:val="22"/>
          <w:szCs w:val="22"/>
        </w:rPr>
        <w:t>w 201</w:t>
      </w:r>
      <w:r w:rsidR="008C446B">
        <w:rPr>
          <w:rFonts w:ascii="Calibri" w:hAnsi="Calibri" w:cs="Calibri"/>
          <w:color w:val="auto"/>
          <w:sz w:val="22"/>
          <w:szCs w:val="22"/>
        </w:rPr>
        <w:t>5</w:t>
      </w:r>
      <w:r>
        <w:rPr>
          <w:rFonts w:ascii="Calibri" w:hAnsi="Calibri" w:cs="Calibri"/>
          <w:color w:val="auto"/>
          <w:sz w:val="22"/>
          <w:szCs w:val="22"/>
        </w:rPr>
        <w:t xml:space="preserve">r. </w:t>
      </w:r>
      <w:r w:rsidRPr="00241122">
        <w:rPr>
          <w:rFonts w:ascii="Calibri" w:hAnsi="Calibri" w:cs="Calibri"/>
          <w:color w:val="auto"/>
          <w:sz w:val="22"/>
          <w:szCs w:val="22"/>
        </w:rPr>
        <w:t>będą traktowane działania dotyczące:</w:t>
      </w:r>
    </w:p>
    <w:p w:rsidR="001A3D9E" w:rsidRPr="00B5488C" w:rsidRDefault="001A3D9E" w:rsidP="001A3D9E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a) wspierania i upowszechniania kultury fizycznej oraz turystyka i krajoznawstwo, w ty</w:t>
      </w:r>
      <w:r>
        <w:rPr>
          <w:rFonts w:ascii="Calibri" w:hAnsi="Calibri" w:cs="Calibri"/>
          <w:b/>
          <w:color w:val="auto"/>
          <w:sz w:val="22"/>
          <w:szCs w:val="22"/>
        </w:rPr>
        <w:t>m</w:t>
      </w:r>
      <w:r w:rsidRPr="00B5488C">
        <w:rPr>
          <w:rFonts w:ascii="Calibri" w:hAnsi="Calibri" w:cs="Calibri"/>
          <w:b/>
          <w:color w:val="auto"/>
          <w:sz w:val="22"/>
          <w:szCs w:val="22"/>
        </w:rPr>
        <w:t>: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wspieranie działalności klubów sportowych,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popularyzacja sportu i turystyki wśród dzieci i młodzieży poprzez  organizację imprez sportowych i turystycznych,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wspieranie szkoleń sportowych, udziału w zawodach i rozgrywkach sportowych,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wspieranie upowszechniania  niekomercyjnych form turystyki,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szkolenie dzieci i młodzieży uzdolnionej sportowo.</w:t>
      </w:r>
    </w:p>
    <w:p w:rsidR="001A3D9E" w:rsidRPr="00B5488C" w:rsidRDefault="001A3D9E" w:rsidP="001A3D9E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b) osób niepełnosprawnych, w tym: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wspieranie działań na rzecz osób niepełnosprawnych, w tym przewlekle chorych, poprzez integrację z otoczeniem i aktywizację społeczną,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- prowadzenie różnych form rehabilitacji społecznej i zawodowej, terapii psychologicznej, pedagogicznej,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prowadzenie działalności wspierającej rodziny osób niepełnosprawnych, m.in. poprzez szkolenia, pomoc psychologiczną, prawną,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działania służące poprawie stanu fizycznego i psychicznego osób niepełnosprawnych, m.in. poprzez warsztaty, spotkania terapeutyczne, działania profilaktyczne, usprawniające i rehabilitacyjne.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c) pomocy społecznej,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w tym: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prowadzenie ośrodków wsparcia dla osób z zaburzeniami psychicznymi,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realizowanie programów profilaktycznych,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działanie na rzecz najuboższych mieszkańców gminy Manowo,</w:t>
      </w:r>
    </w:p>
    <w:p w:rsidR="001A3D9E" w:rsidRPr="00B5488C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prowadzenie poradnictwa specjalistycznego.</w:t>
      </w:r>
    </w:p>
    <w:p w:rsidR="001A3D9E" w:rsidRDefault="001A3D9E" w:rsidP="001A3D9E">
      <w:pPr>
        <w:spacing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5488C">
        <w:rPr>
          <w:rFonts w:ascii="Calibri" w:hAnsi="Calibri" w:cs="Calibri"/>
          <w:b/>
          <w:color w:val="auto"/>
          <w:sz w:val="22"/>
          <w:szCs w:val="22"/>
        </w:rPr>
        <w:t>d) ratownictwa i ochrony ludności.</w:t>
      </w:r>
    </w:p>
    <w:p w:rsidR="001A3D9E" w:rsidRPr="000F661C" w:rsidRDefault="001A3D9E" w:rsidP="001A3D9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ochrona przeciwpożarowa gminy. </w:t>
      </w: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1A3D9E" w:rsidRPr="00241122" w:rsidRDefault="001A3D9E" w:rsidP="001A3D9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IX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>. Okres realizacji programu</w:t>
      </w:r>
    </w:p>
    <w:p w:rsidR="001A3D9E" w:rsidRPr="00241122" w:rsidRDefault="001A3D9E" w:rsidP="001A3D9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1A3D9E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473F0">
        <w:rPr>
          <w:rFonts w:ascii="Calibri" w:hAnsi="Calibri" w:cs="Calibri"/>
          <w:color w:val="auto"/>
          <w:sz w:val="22"/>
          <w:szCs w:val="22"/>
        </w:rPr>
        <w:t>Roczny program współpracy gminy z organizacjami pozarządowymi oraz podmiotami wymienionymi w art. 3 ust. 3 ustawy o działalności pożytku publicznego i o wolontariacie na rok 201</w:t>
      </w:r>
      <w:r w:rsidR="008C446B">
        <w:rPr>
          <w:rFonts w:ascii="Calibri" w:hAnsi="Calibri" w:cs="Calibri"/>
          <w:color w:val="auto"/>
          <w:sz w:val="22"/>
          <w:szCs w:val="22"/>
        </w:rPr>
        <w:t>5</w:t>
      </w:r>
      <w:r w:rsidRPr="008473F0">
        <w:rPr>
          <w:rFonts w:ascii="Calibri" w:hAnsi="Calibri" w:cs="Calibri"/>
          <w:color w:val="auto"/>
          <w:sz w:val="22"/>
          <w:szCs w:val="22"/>
        </w:rPr>
        <w:t xml:space="preserve"> obowiązuje od 1 stycznia 201</w:t>
      </w:r>
      <w:r w:rsidR="008C446B">
        <w:rPr>
          <w:rFonts w:ascii="Calibri" w:hAnsi="Calibri" w:cs="Calibri"/>
          <w:color w:val="auto"/>
          <w:sz w:val="22"/>
          <w:szCs w:val="22"/>
        </w:rPr>
        <w:t>5</w:t>
      </w:r>
      <w:r w:rsidRPr="008473F0">
        <w:rPr>
          <w:rFonts w:ascii="Calibri" w:hAnsi="Calibri" w:cs="Calibri"/>
          <w:color w:val="auto"/>
          <w:sz w:val="22"/>
          <w:szCs w:val="22"/>
        </w:rPr>
        <w:t xml:space="preserve"> do 31 grudnia 201</w:t>
      </w:r>
      <w:r w:rsidR="008C446B">
        <w:rPr>
          <w:rFonts w:ascii="Calibri" w:hAnsi="Calibri" w:cs="Calibri"/>
          <w:color w:val="auto"/>
          <w:sz w:val="22"/>
          <w:szCs w:val="22"/>
        </w:rPr>
        <w:t>5</w:t>
      </w:r>
      <w:r w:rsidRPr="008473F0">
        <w:rPr>
          <w:rFonts w:ascii="Calibri" w:hAnsi="Calibri" w:cs="Calibri"/>
          <w:color w:val="auto"/>
          <w:sz w:val="22"/>
          <w:szCs w:val="22"/>
        </w:rPr>
        <w:t xml:space="preserve"> roku.</w:t>
      </w:r>
    </w:p>
    <w:p w:rsidR="001A3D9E" w:rsidRPr="008473F0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X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b/>
          <w:color w:val="auto"/>
          <w:sz w:val="22"/>
          <w:szCs w:val="22"/>
        </w:rPr>
        <w:t>Sposób realizacji programu</w:t>
      </w:r>
    </w:p>
    <w:p w:rsidR="001A3D9E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1A3D9E" w:rsidRPr="009105AC" w:rsidRDefault="001A3D9E" w:rsidP="001A3D9E">
      <w:pPr>
        <w:pStyle w:val="Akapitzlist"/>
        <w:numPr>
          <w:ilvl w:val="0"/>
          <w:numId w:val="19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105AC">
        <w:rPr>
          <w:rFonts w:ascii="Calibri" w:hAnsi="Calibri" w:cs="Calibri"/>
          <w:color w:val="auto"/>
          <w:sz w:val="22"/>
          <w:szCs w:val="22"/>
        </w:rPr>
        <w:t>Program współpracy skierowany jest do organizacji pozarządowych oraz podmiotów wymienionych w art. 3 ust. 3 ustawy, które prowadzą działalność na terenie gminy Manowo lub na rzecz jej mieszkańców.</w:t>
      </w:r>
    </w:p>
    <w:p w:rsidR="001A3D9E" w:rsidRDefault="001A3D9E" w:rsidP="001A3D9E">
      <w:pPr>
        <w:pStyle w:val="Akapitzlist"/>
        <w:numPr>
          <w:ilvl w:val="0"/>
          <w:numId w:val="19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Podstawowym trybem realizacji Programu i przekazywania środków finansowych organizacjom pozarządowym będzie ogłaszany przez Wójta otwarty konkurs ofert, W przypadkach określonych w ustawie dopuszczalne jest stosowanie innego trybu.</w:t>
      </w:r>
    </w:p>
    <w:p w:rsidR="001A3D9E" w:rsidRDefault="001A3D9E" w:rsidP="001A3D9E">
      <w:pPr>
        <w:pStyle w:val="Akapitzlist"/>
        <w:numPr>
          <w:ilvl w:val="0"/>
          <w:numId w:val="19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Przeprowadzanie otwartych konkursów ofert odbywać się będzie według następujących zasad:</w:t>
      </w:r>
    </w:p>
    <w:p w:rsidR="001A3D9E" w:rsidRDefault="001A3D9E" w:rsidP="001A3D9E">
      <w:pPr>
        <w:pStyle w:val="Akapitzlist"/>
        <w:numPr>
          <w:ilvl w:val="0"/>
          <w:numId w:val="20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zlecanie realizacji zadań gminy Manowo organizacjom obejmuje w pierwszej kolejności zadania priorytetowe i odbywać się będzie po przeprowadzeniu otwartego konkursu ofert, chyba że odrębne przepisy przewidują inny tryb zlecania lub dane zadanie można realizować w inny sposób określony w odrębnych przepisach,</w:t>
      </w:r>
    </w:p>
    <w:p w:rsidR="001A3D9E" w:rsidRDefault="001A3D9E" w:rsidP="001A3D9E">
      <w:pPr>
        <w:pStyle w:val="Akapitzlist"/>
        <w:numPr>
          <w:ilvl w:val="0"/>
          <w:numId w:val="20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otwarty konkurs ofert ogłasza Wójt Gminy Manowo,</w:t>
      </w:r>
    </w:p>
    <w:p w:rsidR="001A3D9E" w:rsidRDefault="001A3D9E" w:rsidP="001A3D9E">
      <w:pPr>
        <w:pStyle w:val="Akapitzlist"/>
        <w:numPr>
          <w:ilvl w:val="0"/>
          <w:numId w:val="20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Termin składania ofert nie może być krótszy niż 21 dni od dnia ukazania się ostatniego ogłoszenia.</w:t>
      </w:r>
    </w:p>
    <w:p w:rsidR="001A3D9E" w:rsidRDefault="001A3D9E" w:rsidP="001A3D9E">
      <w:pPr>
        <w:pStyle w:val="Akapitzlist"/>
        <w:numPr>
          <w:ilvl w:val="0"/>
          <w:numId w:val="20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Otwarty konkurs ofert ogłasza się w Biuletynie Informacji Publicznej (bip.manowo.pl), na stronie urzędu </w:t>
      </w:r>
      <w:hyperlink r:id="rId8" w:history="1">
        <w:r w:rsidRPr="00BC7E6E">
          <w:rPr>
            <w:rStyle w:val="Hipercze"/>
            <w:rFonts w:ascii="Calibri" w:hAnsi="Calibri" w:cs="Calibri"/>
            <w:sz w:val="22"/>
            <w:szCs w:val="22"/>
          </w:rPr>
          <w:t>www.manowo.pl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 w zakładce Organizacje pozarządowe i na tablicy ogłoszeń w budynku urzędu.</w:t>
      </w:r>
      <w:r w:rsidRPr="00416D49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A3D9E" w:rsidRPr="00416D49" w:rsidRDefault="001A3D9E" w:rsidP="001A3D9E">
      <w:pPr>
        <w:pStyle w:val="Akapitzlist"/>
        <w:tabs>
          <w:tab w:val="right" w:pos="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X. 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>Wysokość środków przeznaczonych na realizację programu</w:t>
      </w:r>
    </w:p>
    <w:p w:rsidR="001A3D9E" w:rsidRPr="00241122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Default="001A3D9E" w:rsidP="001A3D9E">
      <w:pPr>
        <w:pStyle w:val="Akapitzlist"/>
        <w:numPr>
          <w:ilvl w:val="0"/>
          <w:numId w:val="17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6A9E">
        <w:rPr>
          <w:rFonts w:ascii="Calibri" w:hAnsi="Calibri" w:cs="Calibri"/>
          <w:color w:val="auto"/>
          <w:sz w:val="22"/>
          <w:szCs w:val="22"/>
        </w:rPr>
        <w:t>Program finansowany będzie ze środków budżetu gminy Manowo, która na jego realizację w roku 201</w:t>
      </w:r>
      <w:r w:rsidR="00BE3548">
        <w:rPr>
          <w:rFonts w:ascii="Calibri" w:hAnsi="Calibri" w:cs="Calibri"/>
          <w:color w:val="auto"/>
          <w:sz w:val="22"/>
          <w:szCs w:val="22"/>
        </w:rPr>
        <w:t>5</w:t>
      </w:r>
      <w:r w:rsidRPr="008B6A9E">
        <w:rPr>
          <w:rFonts w:ascii="Calibri" w:hAnsi="Calibri" w:cs="Calibri"/>
          <w:color w:val="auto"/>
          <w:sz w:val="22"/>
          <w:szCs w:val="22"/>
        </w:rPr>
        <w:t xml:space="preserve"> planuje przeznaczyć  środki finansowe w wysokości nie mniejszej niż  </w:t>
      </w:r>
      <w:r w:rsidRPr="007D702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12E65" w:rsidRPr="00212E65">
        <w:rPr>
          <w:rFonts w:ascii="Calibri" w:hAnsi="Calibri" w:cs="Calibri"/>
          <w:color w:val="auto"/>
          <w:sz w:val="22"/>
          <w:szCs w:val="22"/>
        </w:rPr>
        <w:t>…………….</w:t>
      </w:r>
      <w:r w:rsidRPr="00212E6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F17B7">
        <w:rPr>
          <w:rFonts w:ascii="Calibri" w:hAnsi="Calibri" w:cs="Calibri"/>
          <w:color w:val="auto"/>
          <w:sz w:val="22"/>
          <w:szCs w:val="22"/>
        </w:rPr>
        <w:t>zł</w:t>
      </w:r>
      <w:r w:rsidRPr="007D7022">
        <w:rPr>
          <w:rFonts w:ascii="Calibri" w:hAnsi="Calibri" w:cs="Calibri"/>
          <w:color w:val="auto"/>
          <w:sz w:val="22"/>
          <w:szCs w:val="22"/>
        </w:rPr>
        <w:t>.</w:t>
      </w:r>
    </w:p>
    <w:p w:rsidR="001A3D9E" w:rsidRPr="008B6A9E" w:rsidRDefault="001A3D9E" w:rsidP="001A3D9E">
      <w:pPr>
        <w:pStyle w:val="Akapitzlist"/>
        <w:numPr>
          <w:ilvl w:val="0"/>
          <w:numId w:val="17"/>
        </w:num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Wysokość środków finansowych przeznaczonych na realizację poszczególnych zadań wymienionych w niniejszym programie określi uchwała budżetowa Gminy Manowo na 201</w:t>
      </w:r>
      <w:r w:rsidR="00BE3548">
        <w:rPr>
          <w:rFonts w:ascii="Calibri" w:hAnsi="Calibri" w:cs="Calibri"/>
          <w:color w:val="auto"/>
          <w:sz w:val="22"/>
          <w:szCs w:val="22"/>
        </w:rPr>
        <w:t>5</w:t>
      </w:r>
      <w:r>
        <w:rPr>
          <w:rFonts w:ascii="Calibri" w:hAnsi="Calibri" w:cs="Calibri"/>
          <w:color w:val="auto"/>
          <w:sz w:val="22"/>
          <w:szCs w:val="22"/>
        </w:rPr>
        <w:t xml:space="preserve"> rok.</w:t>
      </w:r>
    </w:p>
    <w:p w:rsidR="001A3D9E" w:rsidRPr="00241122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X</w:t>
      </w:r>
      <w:r>
        <w:rPr>
          <w:rFonts w:ascii="Calibri" w:hAnsi="Calibri" w:cs="Calibri"/>
          <w:b/>
          <w:color w:val="auto"/>
          <w:sz w:val="22"/>
          <w:szCs w:val="22"/>
        </w:rPr>
        <w:t>I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>. Sposób oceny realizacji programu</w:t>
      </w:r>
    </w:p>
    <w:p w:rsidR="001A3D9E" w:rsidRPr="00241122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Bieżącym monitoringiem realizacji zadań programu zajmuje się osoba odpowiedzialna za współpracę z organizacjami pozarządowymi, upoważniona przez Wójta Gminy Manowo.</w:t>
      </w:r>
    </w:p>
    <w:p w:rsidR="001A3D9E" w:rsidRPr="00241122" w:rsidRDefault="001A3D9E" w:rsidP="001A3D9E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Sprawozdanie z realizacji programu współpracy za rok 201</w:t>
      </w:r>
      <w:r w:rsidR="00BE3548">
        <w:rPr>
          <w:rFonts w:ascii="Calibri" w:hAnsi="Calibri" w:cs="Calibri"/>
          <w:color w:val="auto"/>
          <w:sz w:val="22"/>
          <w:szCs w:val="22"/>
        </w:rPr>
        <w:t>5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Wójt Gminy Manowo przedstawi Radzie Gminy oraz publikuje w Biuletynie Informacji Publicznej w terminie do 30 kwietnia 201</w:t>
      </w:r>
      <w:r w:rsidR="00BE3548">
        <w:rPr>
          <w:rFonts w:ascii="Calibri" w:hAnsi="Calibri" w:cs="Calibri"/>
          <w:color w:val="auto"/>
          <w:sz w:val="22"/>
          <w:szCs w:val="22"/>
        </w:rPr>
        <w:t>6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roku. </w:t>
      </w:r>
    </w:p>
    <w:p w:rsidR="001A3D9E" w:rsidRPr="00241122" w:rsidRDefault="001A3D9E" w:rsidP="001A3D9E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Sprawozdanie powinno zawierać następujące wskaźniki:</w:t>
      </w:r>
    </w:p>
    <w:p w:rsidR="001A3D9E" w:rsidRPr="00241122" w:rsidRDefault="001A3D9E" w:rsidP="001A3D9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otwartych konkursów ofert,</w:t>
      </w:r>
    </w:p>
    <w:p w:rsidR="001A3D9E" w:rsidRPr="00241122" w:rsidRDefault="001A3D9E" w:rsidP="001A3D9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ofert, które wpłynęły od organizacji,</w:t>
      </w:r>
    </w:p>
    <w:p w:rsidR="001A3D9E" w:rsidRPr="00241122" w:rsidRDefault="001A3D9E" w:rsidP="001A3D9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umów zawartych  z organizacjami na realizację zadania publicznego,</w:t>
      </w:r>
    </w:p>
    <w:p w:rsidR="001A3D9E" w:rsidRPr="00241122" w:rsidRDefault="001A3D9E" w:rsidP="001A3D9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umów, które nie zostały zrealizowane,</w:t>
      </w:r>
    </w:p>
    <w:p w:rsidR="001A3D9E" w:rsidRDefault="001A3D9E" w:rsidP="001A3D9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umów zawartych w formie wsparcia i formie powierzenia,</w:t>
      </w:r>
    </w:p>
    <w:p w:rsidR="001A3D9E" w:rsidRPr="00241122" w:rsidRDefault="001A3D9E" w:rsidP="001A3D9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liczba umów zawarta na okres dłuższy niż 1 rok,</w:t>
      </w:r>
    </w:p>
    <w:p w:rsidR="001A3D9E" w:rsidRPr="00241122" w:rsidRDefault="001A3D9E" w:rsidP="001A3D9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wysokość środków finansowych przekazanych z budżetu gminy na realizację zadań publicznych przez organizacje,</w:t>
      </w:r>
    </w:p>
    <w:p w:rsidR="001A3D9E" w:rsidRPr="00241122" w:rsidRDefault="001A3D9E" w:rsidP="001A3D9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liczba obszarów zadaniowych,</w:t>
      </w:r>
    </w:p>
    <w:p w:rsidR="001A3D9E" w:rsidRPr="00241122" w:rsidRDefault="001A3D9E" w:rsidP="001A3D9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wysokość budżetowych środków finansowych przeznaczonych na realizację Programu.</w:t>
      </w:r>
    </w:p>
    <w:p w:rsidR="001A3D9E" w:rsidRDefault="001A3D9E" w:rsidP="001A3D9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315B3" w:rsidRDefault="00C315B3" w:rsidP="001A3D9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315B3" w:rsidRDefault="00C315B3" w:rsidP="001A3D9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315B3" w:rsidRPr="00241122" w:rsidRDefault="00C315B3" w:rsidP="001A3D9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tabs>
          <w:tab w:val="righ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X</w:t>
      </w:r>
      <w:r>
        <w:rPr>
          <w:rFonts w:ascii="Calibri" w:hAnsi="Calibri" w:cs="Calibri"/>
          <w:b/>
          <w:color w:val="auto"/>
          <w:sz w:val="22"/>
          <w:szCs w:val="22"/>
        </w:rPr>
        <w:t>II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>. Informacje o sposobie tworzenia programu oraz przebiegu konsultacji</w:t>
      </w:r>
    </w:p>
    <w:p w:rsidR="001A3D9E" w:rsidRPr="00241122" w:rsidRDefault="001A3D9E" w:rsidP="001A3D9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Program współpracy z organizacjami pozarządowymi oraz innymi podmiotami prowadzącymi działalność pożytku publicznego na każdy rok budżetowy tworzony jest na bazie projektu, który jest konsultowany z organizacjami pozarządowymi i podmiotami wymienionymi w art. 3 ust. 3 funkcjonującymi na terenie gminy Manowo.</w:t>
      </w:r>
    </w:p>
    <w:p w:rsidR="001A3D9E" w:rsidRDefault="001A3D9E" w:rsidP="001A3D9E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Zasady konsultacji określa Uchwała Nr XLII/310/2010 Rady Gminy Manowo z dnia 24 czerwca 2010r. w sprawie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1A3D9E" w:rsidRPr="00241122" w:rsidRDefault="001A3D9E" w:rsidP="001A3D9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X</w:t>
      </w:r>
      <w:r>
        <w:rPr>
          <w:rFonts w:ascii="Calibri" w:hAnsi="Calibri" w:cs="Calibri"/>
          <w:b/>
          <w:color w:val="auto"/>
          <w:sz w:val="22"/>
          <w:szCs w:val="22"/>
        </w:rPr>
        <w:t>II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>I. Tryb powoływania i zasad</w:t>
      </w:r>
      <w:r>
        <w:rPr>
          <w:rFonts w:ascii="Calibri" w:hAnsi="Calibri" w:cs="Calibri"/>
          <w:b/>
          <w:color w:val="auto"/>
          <w:sz w:val="22"/>
          <w:szCs w:val="22"/>
        </w:rPr>
        <w:t>y</w:t>
      </w:r>
      <w:r w:rsidRPr="00241122">
        <w:rPr>
          <w:rFonts w:ascii="Calibri" w:hAnsi="Calibri" w:cs="Calibri"/>
          <w:b/>
          <w:color w:val="auto"/>
          <w:sz w:val="22"/>
          <w:szCs w:val="22"/>
        </w:rPr>
        <w:t xml:space="preserve"> działania komisji konkursowych do opiniowania ofert w otwartych konkursach ofert</w:t>
      </w:r>
    </w:p>
    <w:p w:rsidR="001A3D9E" w:rsidRPr="00241122" w:rsidRDefault="001A3D9E" w:rsidP="001A3D9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1A3D9E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Wójt każdorazowo po ogłoszeniu otwartego konkursu ofert na realizację zadań publicznych powołuje w drodze zarządzenia komisję konkursową do oceny złożonych ofert.</w:t>
      </w:r>
      <w:r w:rsidRPr="007D702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A3D9E" w:rsidRPr="007D7022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Komisje konkursowe powoływane są w celu opiniowania ofert w otwartych konkursach ofert.</w:t>
      </w:r>
    </w:p>
    <w:p w:rsidR="001A3D9E" w:rsidRPr="00241122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skład komisji konkursowej wchodzą pracownicy Urzędu Gminy, osoby wskazane przez organizacje pozarządowe lub podmioty wymienione w art. 3 ust. 3</w:t>
      </w:r>
      <w:r>
        <w:rPr>
          <w:rFonts w:ascii="Calibri" w:hAnsi="Calibri" w:cs="Calibri"/>
          <w:color w:val="auto"/>
          <w:sz w:val="22"/>
          <w:szCs w:val="22"/>
        </w:rPr>
        <w:t xml:space="preserve"> ustawy</w:t>
      </w:r>
      <w:r w:rsidRPr="00241122">
        <w:rPr>
          <w:rFonts w:ascii="Calibri" w:hAnsi="Calibri" w:cs="Calibri"/>
          <w:color w:val="auto"/>
          <w:sz w:val="22"/>
          <w:szCs w:val="22"/>
        </w:rPr>
        <w:t>, z wyłączeniem osób wskazanych przez  organizacje pozarządowe lub podmioty wymienione w art. 3 ust. 3 biorące udział w konkursie.</w:t>
      </w:r>
    </w:p>
    <w:p w:rsidR="001A3D9E" w:rsidRPr="00241122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1A3D9E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ocenie oferty złożonej w konkursie nie może brać udziału osoba, której powiązania ze składającym ją podmiotem mogą budzić zastrzeżenia co do jej bezstronności.</w:t>
      </w:r>
    </w:p>
    <w:p w:rsidR="001A3D9E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Pracami komisji kieruje Przewodniczący komisji.</w:t>
      </w:r>
    </w:p>
    <w:p w:rsidR="001A3D9E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Komisja może działać bez udziału osób wskazanych przez organizacje pozarządowe lub podmioty wymienione w art. 3 ust. 3 ustawy, jeżeli:</w:t>
      </w:r>
    </w:p>
    <w:p w:rsidR="001A3D9E" w:rsidRDefault="001A3D9E" w:rsidP="001A3D9E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żadna organizacja nie wskaże osób do prac komisji,</w:t>
      </w:r>
    </w:p>
    <w:p w:rsidR="001A3D9E" w:rsidRDefault="001A3D9E" w:rsidP="001A3D9E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wskazane osoby nie wezmą udziału w pracach komisji,</w:t>
      </w:r>
    </w:p>
    <w:p w:rsidR="001A3D9E" w:rsidRPr="00B013B5" w:rsidRDefault="001A3D9E" w:rsidP="001A3D9E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wszystkie powołane w skład komisji osoby podlegają wyłączeniu na podstawie art. 15 ust. 2d lub art. 15 ust. 2f ustawy.</w:t>
      </w:r>
    </w:p>
    <w:p w:rsidR="001A3D9E" w:rsidRPr="00241122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lastRenderedPageBreak/>
        <w:t>Komisja wypracowuje stanowisko, po zebraniu indywidualnych opinii wobec wszystkich ofert i przedstawia je w formie listy ocenionych projektów wraz z proponowaną kwotą dotacji.</w:t>
      </w:r>
    </w:p>
    <w:p w:rsidR="001A3D9E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Za uczestnictwo w pracach Komisji jej członkowie nie otrzymują wynagrodzenia.</w:t>
      </w:r>
    </w:p>
    <w:p w:rsidR="001A3D9E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Komisja obraduje na posiedzeniach zamkniętych, bez udziału oferentów.</w:t>
      </w:r>
    </w:p>
    <w:p w:rsidR="001A3D9E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prac komisji sporządza się protokół.</w:t>
      </w:r>
    </w:p>
    <w:p w:rsidR="001A3D9E" w:rsidRPr="00241122" w:rsidRDefault="001A3D9E" w:rsidP="001A3D9E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Ostatecznego wyboru najkorzystniejszych ofert wraz z decyzją o wysokości kwoty przyznanej dotacji dokonuje Wójt Gminy Manowo lub osoba przez niego upoważniona.</w:t>
      </w:r>
    </w:p>
    <w:p w:rsidR="001A3D9E" w:rsidRPr="00241122" w:rsidRDefault="001A3D9E" w:rsidP="001A3D9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Zakończenie</w:t>
      </w:r>
    </w:p>
    <w:p w:rsidR="001A3D9E" w:rsidRPr="00241122" w:rsidRDefault="001A3D9E" w:rsidP="001A3D9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W sprawach nieuregulowanych w niniejszym progr</w:t>
      </w:r>
      <w:r>
        <w:rPr>
          <w:rFonts w:ascii="Calibri" w:hAnsi="Calibri" w:cs="Calibri"/>
          <w:color w:val="auto"/>
          <w:sz w:val="22"/>
          <w:szCs w:val="22"/>
        </w:rPr>
        <w:t>amie zastosowanie mają przepisy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 Kodeksu cywilnego, ustawy o finansach publicznych oraz ustawy o zamówieniach publicznych.</w:t>
      </w:r>
    </w:p>
    <w:p w:rsidR="001A3D9E" w:rsidRDefault="001A3D9E" w:rsidP="001A3D9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Zmiany niniejszego Programu wymagają formy przyjętej dla jego uchwalenia.</w:t>
      </w:r>
    </w:p>
    <w:p w:rsidR="001A3D9E" w:rsidRDefault="001A3D9E" w:rsidP="001A3D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</w:p>
    <w:p w:rsidR="001A3D9E" w:rsidRPr="00855F95" w:rsidRDefault="001A3D9E" w:rsidP="001A3D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855F95">
        <w:rPr>
          <w:rFonts w:ascii="Calibri" w:hAnsi="Calibri" w:cs="Tahoma"/>
          <w:color w:val="auto"/>
          <w:sz w:val="22"/>
          <w:szCs w:val="22"/>
        </w:rPr>
        <w:t>§ 2. Wykonanie uchwały powierza się Wójtowi Gminy Manowo.</w:t>
      </w:r>
    </w:p>
    <w:p w:rsidR="001A3D9E" w:rsidRDefault="001A3D9E" w:rsidP="001A3D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855F95">
        <w:rPr>
          <w:rFonts w:ascii="Calibri" w:hAnsi="Calibri" w:cs="Tahoma"/>
          <w:color w:val="auto"/>
          <w:sz w:val="22"/>
          <w:szCs w:val="22"/>
        </w:rPr>
        <w:t>§ 3. Uchwała wchodzi w życie z dniem podjęcia.</w:t>
      </w:r>
      <w:bookmarkStart w:id="0" w:name="_GoBack"/>
      <w:bookmarkEnd w:id="0"/>
    </w:p>
    <w:p w:rsidR="00C315B3" w:rsidRDefault="00C315B3" w:rsidP="001A3D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auto"/>
          <w:sz w:val="22"/>
          <w:szCs w:val="22"/>
        </w:rPr>
      </w:pPr>
    </w:p>
    <w:p w:rsidR="00C315B3" w:rsidRDefault="00C315B3" w:rsidP="00C315B3">
      <w:pPr>
        <w:autoSpaceDE w:val="0"/>
        <w:autoSpaceDN w:val="0"/>
        <w:adjustRightInd w:val="0"/>
        <w:spacing w:line="360" w:lineRule="auto"/>
        <w:ind w:left="5954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Wójt Gminy Manowo</w:t>
      </w:r>
    </w:p>
    <w:p w:rsidR="00C315B3" w:rsidRPr="00855F95" w:rsidRDefault="00C315B3" w:rsidP="00C315B3">
      <w:pPr>
        <w:autoSpaceDE w:val="0"/>
        <w:autoSpaceDN w:val="0"/>
        <w:adjustRightInd w:val="0"/>
        <w:spacing w:line="360" w:lineRule="auto"/>
        <w:ind w:left="5954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 xml:space="preserve">   Roman Kłosowski</w:t>
      </w:r>
    </w:p>
    <w:p w:rsidR="001A3D9E" w:rsidRDefault="001A3D9E" w:rsidP="001A3D9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Default="001A3D9E" w:rsidP="001A3D9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br w:type="page"/>
      </w:r>
      <w:r w:rsidRPr="00241122">
        <w:rPr>
          <w:rFonts w:ascii="Calibri" w:hAnsi="Calibri" w:cs="Calibri"/>
          <w:b/>
          <w:color w:val="auto"/>
          <w:sz w:val="22"/>
          <w:szCs w:val="22"/>
        </w:rPr>
        <w:lastRenderedPageBreak/>
        <w:t>Uzasadnienie</w:t>
      </w:r>
    </w:p>
    <w:p w:rsidR="001A3D9E" w:rsidRPr="00241122" w:rsidRDefault="001A3D9E" w:rsidP="001A3D9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41122">
        <w:rPr>
          <w:rFonts w:ascii="Calibri" w:hAnsi="Calibri" w:cs="Calibri"/>
          <w:b/>
          <w:color w:val="auto"/>
          <w:sz w:val="22"/>
          <w:szCs w:val="22"/>
        </w:rPr>
        <w:t>do projektu uchwały</w:t>
      </w:r>
    </w:p>
    <w:p w:rsidR="001A3D9E" w:rsidRPr="00241122" w:rsidRDefault="001A3D9E" w:rsidP="001A3D9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1A3D9E" w:rsidRPr="00241122" w:rsidRDefault="001A3D9E" w:rsidP="001A3D9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41122">
        <w:rPr>
          <w:rFonts w:ascii="Calibri" w:hAnsi="Calibri" w:cs="Calibri"/>
          <w:b/>
          <w:sz w:val="22"/>
          <w:szCs w:val="22"/>
        </w:rPr>
        <w:t>w sprawie przyjęcia „Programu i zasad współpracy Gminy Manowo z organizacjami pozarządowymi oraz innymi podmiotami prowadzącymi działalność pożytku publicznego na rok 201</w:t>
      </w:r>
      <w:r w:rsidR="00014020">
        <w:rPr>
          <w:rFonts w:ascii="Calibri" w:hAnsi="Calibri" w:cs="Calibri"/>
          <w:b/>
          <w:sz w:val="22"/>
          <w:szCs w:val="22"/>
        </w:rPr>
        <w:t>5</w:t>
      </w:r>
      <w:r w:rsidRPr="00241122">
        <w:rPr>
          <w:rFonts w:ascii="Calibri" w:hAnsi="Calibri" w:cs="Calibri"/>
          <w:b/>
          <w:sz w:val="22"/>
          <w:szCs w:val="22"/>
        </w:rPr>
        <w:t>”</w:t>
      </w:r>
    </w:p>
    <w:p w:rsidR="001A3D9E" w:rsidRPr="00241122" w:rsidRDefault="001A3D9E" w:rsidP="001A3D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A3D9E" w:rsidRPr="00241122" w:rsidRDefault="001A3D9E" w:rsidP="001A3D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Przyjęcie „Programu i zasad współpracy Gminy Manowo z organizacjami pozarządowymi oraz innymi podmiotami prowadzącymi działalność pożytku publicznego na rok 201</w:t>
      </w:r>
      <w:r w:rsidR="00014020">
        <w:rPr>
          <w:rFonts w:ascii="Calibri" w:hAnsi="Calibri" w:cs="Calibri"/>
          <w:color w:val="auto"/>
          <w:sz w:val="22"/>
          <w:szCs w:val="22"/>
        </w:rPr>
        <w:t>5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” wynika z zapisów ustawy z dnia 24 kwietnia 2003r. o działalności pożytku publicznego i o wolontariacie (tj. Dz.U. z </w:t>
      </w:r>
      <w:r w:rsidR="00014020">
        <w:rPr>
          <w:rFonts w:ascii="Calibri" w:hAnsi="Calibri" w:cs="Calibri"/>
          <w:color w:val="auto"/>
          <w:sz w:val="22"/>
          <w:szCs w:val="22"/>
        </w:rPr>
        <w:t>2014</w:t>
      </w:r>
      <w:r w:rsidRPr="00241122">
        <w:rPr>
          <w:rFonts w:ascii="Calibri" w:hAnsi="Calibri" w:cs="Calibri"/>
          <w:color w:val="auto"/>
          <w:sz w:val="22"/>
          <w:szCs w:val="22"/>
        </w:rPr>
        <w:t>r.</w:t>
      </w:r>
      <w:r w:rsidR="00014020">
        <w:rPr>
          <w:rFonts w:ascii="Calibri" w:hAnsi="Calibri" w:cs="Calibri"/>
          <w:color w:val="auto"/>
          <w:sz w:val="22"/>
          <w:szCs w:val="22"/>
        </w:rPr>
        <w:t xml:space="preserve"> poz.1118</w:t>
      </w:r>
      <w:r w:rsidRPr="00241122">
        <w:rPr>
          <w:rFonts w:ascii="Calibri" w:hAnsi="Calibri" w:cs="Calibri"/>
          <w:color w:val="auto"/>
          <w:sz w:val="22"/>
          <w:szCs w:val="22"/>
        </w:rPr>
        <w:t xml:space="preserve">). Ustawa ta nakłada na organy administracji publicznej obowiązek realizacji zadań ze strefy publicznej, we współpracy z organizacjami pozarządowymi oraz podmiotami prowadzącymi działalność pożytku publicznego. Fundamentalne znaczenie w tej kwestii ma art. 5a ust. 1 cytowanej ustawy nakładający na organ stanowiący jednostki samorządu terytorialnego obowiązek uchwalania, po  konsultacjach z organizacjami pozarządowymi  oraz podmiotami wymienionymi w art. 3 ust. 3, rocznego programu współpracy z organizacjami pozarządowymi oraz podmiotami prowadzącymi działalność pożytku publicznego. </w:t>
      </w:r>
    </w:p>
    <w:p w:rsidR="001A3D9E" w:rsidRPr="00241122" w:rsidRDefault="001A3D9E" w:rsidP="001A3D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41122">
        <w:rPr>
          <w:rFonts w:ascii="Calibri" w:hAnsi="Calibri" w:cs="Calibri"/>
          <w:color w:val="auto"/>
          <w:sz w:val="22"/>
          <w:szCs w:val="22"/>
        </w:rPr>
        <w:t>Niniejszy program określa w sposób czytelny cele, zakres i formy współpracy pomiędzy samorządem a organizacjami pozarządowymi oraz podmiotami prowadzącymi działalność pożytku publicznego.</w:t>
      </w:r>
    </w:p>
    <w:p w:rsidR="001A3D9E" w:rsidRPr="00241122" w:rsidRDefault="001A3D9E" w:rsidP="001A3D9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rPr>
          <w:rFonts w:ascii="Calibri" w:hAnsi="Calibri" w:cs="Calibri"/>
          <w:color w:val="auto"/>
          <w:sz w:val="22"/>
          <w:szCs w:val="22"/>
        </w:rPr>
      </w:pPr>
    </w:p>
    <w:p w:rsidR="001A3D9E" w:rsidRPr="00241122" w:rsidRDefault="001A3D9E" w:rsidP="001A3D9E">
      <w:pPr>
        <w:rPr>
          <w:rFonts w:ascii="Calibri" w:hAnsi="Calibri" w:cs="Calibri"/>
        </w:rPr>
      </w:pPr>
    </w:p>
    <w:p w:rsidR="001A3D9E" w:rsidRDefault="001A3D9E" w:rsidP="001A3D9E"/>
    <w:p w:rsidR="000E2EE7" w:rsidRDefault="000E2EE7"/>
    <w:sectPr w:rsidR="000E2EE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65" w:rsidRDefault="00122365">
      <w:r>
        <w:separator/>
      </w:r>
    </w:p>
  </w:endnote>
  <w:endnote w:type="continuationSeparator" w:id="0">
    <w:p w:rsidR="00122365" w:rsidRDefault="0012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0" w:rsidRDefault="00BE3548" w:rsidP="008F08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00" w:rsidRDefault="00122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0" w:rsidRDefault="00BE3548" w:rsidP="008F08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15B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D4500" w:rsidRDefault="00122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65" w:rsidRDefault="00122365">
      <w:r>
        <w:separator/>
      </w:r>
    </w:p>
  </w:footnote>
  <w:footnote w:type="continuationSeparator" w:id="0">
    <w:p w:rsidR="00122365" w:rsidRDefault="0012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EFB"/>
    <w:multiLevelType w:val="hybridMultilevel"/>
    <w:tmpl w:val="9AD2E6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D156B"/>
    <w:multiLevelType w:val="hybridMultilevel"/>
    <w:tmpl w:val="37FAE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240713"/>
    <w:multiLevelType w:val="hybridMultilevel"/>
    <w:tmpl w:val="24EA9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E38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43AA4"/>
    <w:multiLevelType w:val="hybridMultilevel"/>
    <w:tmpl w:val="7494C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8653F"/>
    <w:multiLevelType w:val="hybridMultilevel"/>
    <w:tmpl w:val="09F4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4BC8"/>
    <w:multiLevelType w:val="hybridMultilevel"/>
    <w:tmpl w:val="8B72F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44B5C"/>
    <w:multiLevelType w:val="hybridMultilevel"/>
    <w:tmpl w:val="115A04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6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421"/>
    <w:multiLevelType w:val="hybridMultilevel"/>
    <w:tmpl w:val="672A5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7348F"/>
    <w:multiLevelType w:val="hybridMultilevel"/>
    <w:tmpl w:val="5FBC3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204A6"/>
    <w:multiLevelType w:val="hybridMultilevel"/>
    <w:tmpl w:val="B8FA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E5298"/>
    <w:multiLevelType w:val="hybridMultilevel"/>
    <w:tmpl w:val="1E44826A"/>
    <w:lvl w:ilvl="0" w:tplc="A72CB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12D23"/>
    <w:multiLevelType w:val="hybridMultilevel"/>
    <w:tmpl w:val="3B6880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14DBA"/>
    <w:multiLevelType w:val="hybridMultilevel"/>
    <w:tmpl w:val="BF2EC5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453A5"/>
    <w:multiLevelType w:val="hybridMultilevel"/>
    <w:tmpl w:val="6DE8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960BB"/>
    <w:multiLevelType w:val="hybridMultilevel"/>
    <w:tmpl w:val="21AA025E"/>
    <w:lvl w:ilvl="0" w:tplc="607E1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BD5ACE"/>
    <w:multiLevelType w:val="hybridMultilevel"/>
    <w:tmpl w:val="D8F6E5A2"/>
    <w:lvl w:ilvl="0" w:tplc="D6343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71FDE"/>
    <w:multiLevelType w:val="hybridMultilevel"/>
    <w:tmpl w:val="19C4F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EE76B1"/>
    <w:multiLevelType w:val="hybridMultilevel"/>
    <w:tmpl w:val="FB2C8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E2AF0"/>
    <w:multiLevelType w:val="hybridMultilevel"/>
    <w:tmpl w:val="DD908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490F06"/>
    <w:multiLevelType w:val="hybridMultilevel"/>
    <w:tmpl w:val="BD82D1EA"/>
    <w:lvl w:ilvl="0" w:tplc="9AB45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7"/>
  </w:num>
  <w:num w:numId="7">
    <w:abstractNumId w:val="18"/>
  </w:num>
  <w:num w:numId="8">
    <w:abstractNumId w:val="15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 w:numId="17">
    <w:abstractNumId w:val="13"/>
  </w:num>
  <w:num w:numId="18">
    <w:abstractNumId w:val="19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E"/>
    <w:rsid w:val="00014020"/>
    <w:rsid w:val="000E2EE7"/>
    <w:rsid w:val="00122365"/>
    <w:rsid w:val="001A3D9E"/>
    <w:rsid w:val="00212E65"/>
    <w:rsid w:val="00232686"/>
    <w:rsid w:val="002847B3"/>
    <w:rsid w:val="00496F1D"/>
    <w:rsid w:val="008C446B"/>
    <w:rsid w:val="009F42B8"/>
    <w:rsid w:val="00A97B4A"/>
    <w:rsid w:val="00BE3548"/>
    <w:rsid w:val="00C315B3"/>
    <w:rsid w:val="00CB224A"/>
    <w:rsid w:val="00E04018"/>
    <w:rsid w:val="00E97AA3"/>
    <w:rsid w:val="00F0178E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3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3D9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1A3D9E"/>
  </w:style>
  <w:style w:type="paragraph" w:styleId="Akapitzlist">
    <w:name w:val="List Paragraph"/>
    <w:basedOn w:val="Normalny"/>
    <w:uiPriority w:val="34"/>
    <w:qFormat/>
    <w:rsid w:val="001A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3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3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3D9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1A3D9E"/>
  </w:style>
  <w:style w:type="paragraph" w:styleId="Akapitzlist">
    <w:name w:val="List Paragraph"/>
    <w:basedOn w:val="Normalny"/>
    <w:uiPriority w:val="34"/>
    <w:qFormat/>
    <w:rsid w:val="001A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3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2705</Words>
  <Characters>16232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dcterms:created xsi:type="dcterms:W3CDTF">2014-10-16T06:01:00Z</dcterms:created>
  <dcterms:modified xsi:type="dcterms:W3CDTF">2014-10-17T08:52:00Z</dcterms:modified>
</cp:coreProperties>
</file>